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3C9B" w14:textId="77777777" w:rsidR="007650D2" w:rsidRDefault="007650D2" w:rsidP="00D3682C">
      <w:pPr>
        <w:rPr>
          <w:b/>
          <w:bCs/>
        </w:rPr>
      </w:pPr>
    </w:p>
    <w:p w14:paraId="4BAF8539" w14:textId="1B924EF1" w:rsidR="00D3682C" w:rsidRPr="001D2CCA" w:rsidRDefault="00A25BA6" w:rsidP="00D3682C">
      <w:pPr>
        <w:rPr>
          <w:b/>
          <w:bCs/>
          <w:kern w:val="32"/>
        </w:rPr>
      </w:pPr>
      <w:r>
        <w:rPr>
          <w:b/>
          <w:bCs/>
        </w:rPr>
        <w:t xml:space="preserve">Vorm. </w:t>
      </w:r>
      <w:r w:rsidR="00DC2548">
        <w:rPr>
          <w:b/>
          <w:bCs/>
        </w:rPr>
        <w:t>Pakutava t</w:t>
      </w:r>
      <w:r w:rsidR="00D3682C" w:rsidRPr="001D2CCA">
        <w:rPr>
          <w:b/>
          <w:bCs/>
        </w:rPr>
        <w:t>e</w:t>
      </w:r>
      <w:r w:rsidR="000D6449">
        <w:rPr>
          <w:b/>
          <w:bCs/>
        </w:rPr>
        <w:t xml:space="preserve">enuse </w:t>
      </w:r>
      <w:r w:rsidR="00DC2548">
        <w:rPr>
          <w:b/>
          <w:bCs/>
        </w:rPr>
        <w:t>kirjeldus</w:t>
      </w:r>
    </w:p>
    <w:p w14:paraId="2796BF5D" w14:textId="77777777" w:rsidR="00D3682C" w:rsidRPr="000926C5" w:rsidRDefault="00D3682C" w:rsidP="00D3682C">
      <w:pPr>
        <w:ind w:right="-284"/>
        <w:jc w:val="both"/>
        <w:rPr>
          <w:sz w:val="22"/>
          <w:szCs w:val="22"/>
        </w:rPr>
      </w:pPr>
    </w:p>
    <w:p w14:paraId="5D381C97" w14:textId="11541D35" w:rsidR="00D3682C" w:rsidRPr="00BE7261" w:rsidRDefault="00D3682C" w:rsidP="00D3682C">
      <w:pPr>
        <w:tabs>
          <w:tab w:val="left" w:pos="2410"/>
        </w:tabs>
        <w:spacing w:before="60" w:after="60"/>
        <w:jc w:val="both"/>
      </w:pPr>
      <w:r w:rsidRPr="002E2602">
        <w:t>Hankija nimi:</w:t>
      </w:r>
      <w:r w:rsidRPr="002E2602">
        <w:tab/>
      </w:r>
      <w:r>
        <w:t>Siseministeerium</w:t>
      </w:r>
    </w:p>
    <w:p w14:paraId="4CADA379" w14:textId="1E3643B9" w:rsidR="00D3682C" w:rsidRPr="00913AC1" w:rsidRDefault="00D3682C" w:rsidP="00D3682C">
      <w:pPr>
        <w:tabs>
          <w:tab w:val="left" w:pos="2410"/>
        </w:tabs>
        <w:spacing w:before="60" w:after="60"/>
        <w:ind w:left="2410" w:hanging="2410"/>
        <w:jc w:val="both"/>
      </w:pPr>
      <w:r w:rsidRPr="002526EA">
        <w:t>Riigihanke nimetus:</w:t>
      </w:r>
      <w:r w:rsidRPr="00BD3F60">
        <w:tab/>
      </w:r>
      <w:r w:rsidR="00DC2548" w:rsidRPr="00DC2548">
        <w:rPr>
          <w:color w:val="000000"/>
          <w:lang w:eastAsia="en-US"/>
        </w:rPr>
        <w:t>Töötajate täiendav tervisekindlustus</w:t>
      </w:r>
    </w:p>
    <w:p w14:paraId="3C6531E6" w14:textId="10B35854" w:rsidR="00D3682C" w:rsidRDefault="00D3682C" w:rsidP="00D3682C">
      <w:pPr>
        <w:tabs>
          <w:tab w:val="left" w:pos="2410"/>
        </w:tabs>
        <w:spacing w:before="60" w:after="60"/>
        <w:jc w:val="both"/>
      </w:pPr>
      <w:r w:rsidRPr="00913AC1">
        <w:t>Riigihanke viitenumber:</w:t>
      </w:r>
      <w:r w:rsidR="00DC2548">
        <w:tab/>
      </w:r>
      <w:r w:rsidR="00DC2548" w:rsidRPr="00DC2548">
        <w:rPr>
          <w:color w:val="000000"/>
          <w:lang w:eastAsia="en-US"/>
        </w:rPr>
        <w:t>305781</w:t>
      </w:r>
    </w:p>
    <w:p w14:paraId="162E3111" w14:textId="77777777" w:rsidR="00D3682C" w:rsidRDefault="00D3682C" w:rsidP="00D3682C">
      <w:pPr>
        <w:jc w:val="both"/>
      </w:pPr>
    </w:p>
    <w:p w14:paraId="5CE27001" w14:textId="77777777" w:rsidR="001C6912" w:rsidRPr="00BA61D8" w:rsidRDefault="001C6912" w:rsidP="00D3682C">
      <w:pPr>
        <w:jc w:val="both"/>
      </w:pPr>
    </w:p>
    <w:p w14:paraId="051D1127" w14:textId="069729F0" w:rsidR="00D3682C" w:rsidRPr="007650D2" w:rsidRDefault="007650D2" w:rsidP="00D3682C">
      <w:pPr>
        <w:jc w:val="both"/>
      </w:pPr>
      <w:r w:rsidRPr="007650D2">
        <w:t>Pakutava tervisekindlustuse teenuse</w:t>
      </w:r>
      <w:r w:rsidR="00E8709A">
        <w:t xml:space="preserve"> kirjelduse </w:t>
      </w:r>
      <w:r w:rsidR="00D3682C" w:rsidRPr="007650D2">
        <w:t>vormi esitamisel peab pakkuja kinni järgmistest tingimustest:</w:t>
      </w:r>
    </w:p>
    <w:p w14:paraId="637F85D9" w14:textId="61C5525C" w:rsidR="00EB74ED" w:rsidRDefault="00EB74ED" w:rsidP="00EB74ED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 w:rsidRPr="00A94C91">
        <w:t>pakkuja esita</w:t>
      </w:r>
      <w:r w:rsidR="007650D2">
        <w:t>b</w:t>
      </w:r>
      <w:r w:rsidRPr="00A94C91">
        <w:t xml:space="preserve"> hankija poolt </w:t>
      </w:r>
      <w:r w:rsidR="007650D2">
        <w:t>alloleva</w:t>
      </w:r>
      <w:r w:rsidR="00E8709A">
        <w:t>te</w:t>
      </w:r>
      <w:r w:rsidR="007650D2">
        <w:t xml:space="preserve">s </w:t>
      </w:r>
      <w:r w:rsidRPr="00A94C91">
        <w:t>tabeli</w:t>
      </w:r>
      <w:r w:rsidR="00E8709A">
        <w:t>te</w:t>
      </w:r>
      <w:r w:rsidRPr="00A94C91">
        <w:t>s küsitud info</w:t>
      </w:r>
      <w:r>
        <w:t>. Info peab olema esitatud selliselt, et hankijal on võimalik kontrollida pakutava teenuse vastavust tehnilisele kirjeldusele.</w:t>
      </w:r>
    </w:p>
    <w:p w14:paraId="2928BF08" w14:textId="12383FCF" w:rsidR="00D3682C" w:rsidRPr="00EB74ED" w:rsidRDefault="00EB74ED" w:rsidP="00D3682C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u w:val="single"/>
        </w:rPr>
      </w:pPr>
      <w:r>
        <w:t>pakkuja on kohustatud pakkum</w:t>
      </w:r>
      <w:r w:rsidR="007650D2">
        <w:t>u</w:t>
      </w:r>
      <w:r>
        <w:t xml:space="preserve">se </w:t>
      </w:r>
      <w:r w:rsidR="007650D2">
        <w:t>esitama kõigi</w:t>
      </w:r>
      <w:r>
        <w:t xml:space="preserve"> teenus</w:t>
      </w:r>
      <w:r w:rsidR="007650D2">
        <w:t>t</w:t>
      </w:r>
      <w:r>
        <w:t xml:space="preserve">e lõikes, st osalist </w:t>
      </w:r>
      <w:r w:rsidRPr="007650D2">
        <w:t>pakkum</w:t>
      </w:r>
      <w:r w:rsidR="00E8709A">
        <w:t>u</w:t>
      </w:r>
      <w:r w:rsidRPr="007650D2">
        <w:t>st teha ei ole lubatud. P</w:t>
      </w:r>
      <w:r w:rsidR="00D3682C" w:rsidRPr="007650D2">
        <w:t>akkuja täi</w:t>
      </w:r>
      <w:r w:rsidR="007650D2">
        <w:t>dab</w:t>
      </w:r>
      <w:r w:rsidR="00D3682C" w:rsidRPr="007650D2">
        <w:t xml:space="preserve"> </w:t>
      </w:r>
      <w:r w:rsidR="00E8709A">
        <w:t xml:space="preserve">mõlema tabeli puhul tulbas „Pakkuja poolt hüvitatavate teenuste kirjeldus“ ja „Pakkuja poolt pakutav omavastutus“ </w:t>
      </w:r>
      <w:r w:rsidR="00E8709A" w:rsidRPr="007650D2">
        <w:t xml:space="preserve">kõik </w:t>
      </w:r>
      <w:r w:rsidR="00E8709A">
        <w:t>toodud lahtrid.</w:t>
      </w:r>
    </w:p>
    <w:p w14:paraId="6398BE94" w14:textId="1891E348" w:rsidR="00EB74ED" w:rsidRPr="00EB74ED" w:rsidRDefault="00EB74ED" w:rsidP="00EB74ED">
      <w:pPr>
        <w:numPr>
          <w:ilvl w:val="0"/>
          <w:numId w:val="1"/>
        </w:numPr>
        <w:tabs>
          <w:tab w:val="left" w:pos="567"/>
        </w:tabs>
        <w:ind w:left="567" w:hanging="567"/>
        <w:jc w:val="both"/>
      </w:pPr>
      <w:r w:rsidRPr="00AF7287">
        <w:t>kui pakkuja pakub tehnilises kirjelduses sätestatud miinimumnõuetest paremaid näitajaid</w:t>
      </w:r>
      <w:r w:rsidR="00E8709A">
        <w:t xml:space="preserve"> (sh laiemat hüvitatavate teenuste loetelu)</w:t>
      </w:r>
      <w:r w:rsidRPr="00AF7287">
        <w:t xml:space="preserve">, </w:t>
      </w:r>
      <w:r w:rsidR="007650D2">
        <w:t>toob</w:t>
      </w:r>
      <w:r w:rsidRPr="00AF7287">
        <w:t xml:space="preserve"> pakkuja selle </w:t>
      </w:r>
      <w:r w:rsidR="007650D2">
        <w:t xml:space="preserve">välja ka </w:t>
      </w:r>
      <w:r w:rsidRPr="00AF7287">
        <w:t>käesoleval vormil (</w:t>
      </w:r>
      <w:r w:rsidR="007650D2">
        <w:t xml:space="preserve">soovitavalt </w:t>
      </w:r>
      <w:r w:rsidRPr="00AF7287">
        <w:t xml:space="preserve">nt </w:t>
      </w:r>
      <w:r w:rsidR="007650D2">
        <w:rPr>
          <w:b/>
          <w:bCs/>
        </w:rPr>
        <w:t>paksus</w:t>
      </w:r>
      <w:r w:rsidRPr="00AF7287">
        <w:t xml:space="preserve"> kirjas</w:t>
      </w:r>
      <w:r w:rsidR="007650D2">
        <w:t xml:space="preserve"> vms moel</w:t>
      </w:r>
      <w:r w:rsidRPr="00AF7287">
        <w:t>)</w:t>
      </w:r>
      <w:r w:rsidR="007650D2">
        <w:t>.</w:t>
      </w:r>
    </w:p>
    <w:p w14:paraId="2B90B83D" w14:textId="36CB7BC2" w:rsidR="00C730CB" w:rsidRDefault="00C730CB"/>
    <w:tbl>
      <w:tblPr>
        <w:tblStyle w:val="TableGrid"/>
        <w:tblW w:w="14558" w:type="dxa"/>
        <w:tblInd w:w="38" w:type="dxa"/>
        <w:tblLook w:val="04A0" w:firstRow="1" w:lastRow="0" w:firstColumn="1" w:lastColumn="0" w:noHBand="0" w:noVBand="1"/>
      </w:tblPr>
      <w:tblGrid>
        <w:gridCol w:w="1369"/>
        <w:gridCol w:w="1910"/>
        <w:gridCol w:w="5688"/>
        <w:gridCol w:w="5591"/>
      </w:tblGrid>
      <w:tr w:rsidR="00D3682C" w:rsidRPr="001A3223" w14:paraId="664EBAA4" w14:textId="77777777" w:rsidTr="00BF6011">
        <w:trPr>
          <w:trHeight w:val="451"/>
        </w:trPr>
        <w:tc>
          <w:tcPr>
            <w:tcW w:w="1375" w:type="dxa"/>
            <w:shd w:val="clear" w:color="auto" w:fill="FFF2CC" w:themeFill="accent4" w:themeFillTint="33"/>
            <w:vAlign w:val="center"/>
          </w:tcPr>
          <w:p w14:paraId="3869B307" w14:textId="6AB3E03C" w:rsidR="00D3682C" w:rsidRPr="001A3223" w:rsidRDefault="00D3682C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>Teenuse nr</w:t>
            </w:r>
          </w:p>
        </w:tc>
        <w:tc>
          <w:tcPr>
            <w:tcW w:w="1768" w:type="dxa"/>
            <w:shd w:val="clear" w:color="auto" w:fill="FFF2CC" w:themeFill="accent4" w:themeFillTint="33"/>
            <w:vAlign w:val="center"/>
          </w:tcPr>
          <w:p w14:paraId="4A05E60A" w14:textId="39E8E371" w:rsidR="00D3682C" w:rsidRPr="001A3223" w:rsidRDefault="00D3682C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>Teenusepakett</w:t>
            </w:r>
          </w:p>
        </w:tc>
        <w:tc>
          <w:tcPr>
            <w:tcW w:w="5749" w:type="dxa"/>
            <w:shd w:val="clear" w:color="auto" w:fill="FFF2CC" w:themeFill="accent4" w:themeFillTint="33"/>
            <w:vAlign w:val="center"/>
          </w:tcPr>
          <w:p w14:paraId="5F56E6F2" w14:textId="62925666" w:rsidR="00D3682C" w:rsidRPr="001A3223" w:rsidRDefault="00D3682C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 xml:space="preserve">Paketis </w:t>
            </w:r>
            <w:r w:rsidR="003A3C42" w:rsidRPr="001A3223">
              <w:rPr>
                <w:b/>
              </w:rPr>
              <w:t>hüvitata</w:t>
            </w:r>
            <w:r w:rsidR="00A620BF" w:rsidRPr="001A3223">
              <w:rPr>
                <w:b/>
              </w:rPr>
              <w:t xml:space="preserve">kse </w:t>
            </w:r>
            <w:r w:rsidRPr="001A3223">
              <w:rPr>
                <w:b/>
              </w:rPr>
              <w:t xml:space="preserve">minimaalselt järgmised teenused </w:t>
            </w:r>
          </w:p>
        </w:tc>
        <w:tc>
          <w:tcPr>
            <w:tcW w:w="5666" w:type="dxa"/>
            <w:shd w:val="clear" w:color="auto" w:fill="FFF2CC" w:themeFill="accent4" w:themeFillTint="33"/>
            <w:vAlign w:val="center"/>
          </w:tcPr>
          <w:p w14:paraId="23E6BF89" w14:textId="60D50570" w:rsidR="00D3682C" w:rsidRPr="001A3223" w:rsidRDefault="00D3682C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 xml:space="preserve">Pakkuja poolt </w:t>
            </w:r>
            <w:r w:rsidR="00A70BC4" w:rsidRPr="001A3223">
              <w:rPr>
                <w:b/>
              </w:rPr>
              <w:t>hüvitatavate teenuste</w:t>
            </w:r>
            <w:r w:rsidRPr="001A3223">
              <w:rPr>
                <w:b/>
              </w:rPr>
              <w:t xml:space="preserve"> kirjeldus</w:t>
            </w:r>
          </w:p>
        </w:tc>
      </w:tr>
      <w:tr w:rsidR="00D3682C" w:rsidRPr="001A3223" w14:paraId="224D67DB" w14:textId="77777777" w:rsidTr="00A541A0">
        <w:tc>
          <w:tcPr>
            <w:tcW w:w="1375" w:type="dxa"/>
            <w:vAlign w:val="center"/>
          </w:tcPr>
          <w:p w14:paraId="4AC6214E" w14:textId="259E1B10" w:rsidR="00D3682C" w:rsidRPr="001A3223" w:rsidRDefault="00D3682C" w:rsidP="00BF6011">
            <w:pPr>
              <w:tabs>
                <w:tab w:val="num" w:pos="426"/>
              </w:tabs>
              <w:spacing w:after="40"/>
              <w:ind w:hanging="24"/>
              <w:jc w:val="center"/>
              <w:rPr>
                <w:highlight w:val="yellow"/>
              </w:rPr>
            </w:pPr>
            <w:r w:rsidRPr="001A3223">
              <w:rPr>
                <w:b/>
              </w:rPr>
              <w:t>Teenus 1</w:t>
            </w:r>
          </w:p>
        </w:tc>
        <w:tc>
          <w:tcPr>
            <w:tcW w:w="1768" w:type="dxa"/>
            <w:vAlign w:val="center"/>
          </w:tcPr>
          <w:p w14:paraId="3055B2D1" w14:textId="2D229DF5" w:rsidR="00D3682C" w:rsidRPr="001A3223" w:rsidRDefault="00D3682C" w:rsidP="00BF6011">
            <w:pPr>
              <w:pStyle w:val="Default"/>
              <w:spacing w:after="40"/>
              <w:jc w:val="center"/>
              <w:rPr>
                <w:color w:val="auto"/>
              </w:rPr>
            </w:pPr>
            <w:r w:rsidRPr="001A3223">
              <w:rPr>
                <w:b/>
                <w:bCs/>
              </w:rPr>
              <w:t>A</w:t>
            </w:r>
            <w:r w:rsidRPr="001A3223">
              <w:rPr>
                <w:b/>
                <w:bCs/>
                <w:color w:val="auto"/>
              </w:rPr>
              <w:t>mbulatoorne pere- ja eriarstiabi, sh psühhiaatri nõustamise teenus</w:t>
            </w:r>
          </w:p>
        </w:tc>
        <w:tc>
          <w:tcPr>
            <w:tcW w:w="5749" w:type="dxa"/>
            <w:vAlign w:val="center"/>
          </w:tcPr>
          <w:p w14:paraId="298F67EE" w14:textId="0D8A678D" w:rsidR="007650D2" w:rsidRPr="001A3223" w:rsidRDefault="007650D2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84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 xml:space="preserve">Pere- ja eriarsti visiidi- ja konsultatsioonitasu (sh naiste- ja </w:t>
            </w:r>
            <w:proofErr w:type="spellStart"/>
            <w:r w:rsidRPr="001A3223">
              <w:rPr>
                <w:color w:val="auto"/>
              </w:rPr>
              <w:t>meestearsti</w:t>
            </w:r>
            <w:proofErr w:type="spellEnd"/>
            <w:r w:rsidRPr="001A3223">
              <w:rPr>
                <w:color w:val="auto"/>
              </w:rPr>
              <w:t xml:space="preserve"> visiidid otsese meditsiinilise näidustuseta).</w:t>
            </w:r>
          </w:p>
          <w:p w14:paraId="7D92EF26" w14:textId="77777777" w:rsidR="007650D2" w:rsidRPr="001A3223" w:rsidRDefault="007650D2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84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Meditsiiniliselt näidustatud ja arsti poolt määratud uuringute, analüüside, protseduuride kulu, psühhiaatri visiidi- ja konsultatsioonitasu ilma arsti suunamiseta.</w:t>
            </w:r>
          </w:p>
          <w:p w14:paraId="08ED6EE8" w14:textId="77777777" w:rsidR="007650D2" w:rsidRPr="001A3223" w:rsidRDefault="007650D2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84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Sünnimärkide kontroll ja sünnimärkide ning nahamoodustiste eemaldamine meditsiinilistel näidustustel.</w:t>
            </w:r>
          </w:p>
          <w:p w14:paraId="082EA70D" w14:textId="77777777" w:rsidR="002A43B4" w:rsidRPr="001A3223" w:rsidRDefault="007650D2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84"/>
              <w:jc w:val="both"/>
            </w:pPr>
            <w:proofErr w:type="spellStart"/>
            <w:r w:rsidRPr="001A3223">
              <w:rPr>
                <w:color w:val="auto"/>
              </w:rPr>
              <w:t>Optometristi</w:t>
            </w:r>
            <w:proofErr w:type="spellEnd"/>
            <w:r w:rsidRPr="001A3223">
              <w:rPr>
                <w:color w:val="auto"/>
              </w:rPr>
              <w:t xml:space="preserve"> vastuvõtu kulu. Silmauuringute kulu</w:t>
            </w:r>
            <w:r w:rsidR="002A43B4" w:rsidRPr="001A3223">
              <w:rPr>
                <w:color w:val="auto"/>
              </w:rPr>
              <w:t>.</w:t>
            </w:r>
          </w:p>
          <w:p w14:paraId="0E5220E1" w14:textId="312233EC" w:rsidR="00D3682C" w:rsidRPr="001A3223" w:rsidRDefault="002A43B4" w:rsidP="00BF6011">
            <w:pPr>
              <w:pStyle w:val="Default"/>
              <w:spacing w:after="40"/>
              <w:jc w:val="both"/>
              <w:rPr>
                <w:sz w:val="22"/>
                <w:szCs w:val="22"/>
              </w:rPr>
            </w:pPr>
            <w:r w:rsidRPr="001A3223">
              <w:rPr>
                <w:i/>
                <w:iCs/>
                <w:color w:val="auto"/>
                <w:sz w:val="22"/>
                <w:szCs w:val="22"/>
              </w:rPr>
              <w:t>P</w:t>
            </w:r>
            <w:r w:rsidR="007650D2" w:rsidRPr="001A3223">
              <w:rPr>
                <w:i/>
                <w:iCs/>
                <w:color w:val="auto"/>
                <w:sz w:val="22"/>
                <w:szCs w:val="22"/>
              </w:rPr>
              <w:t xml:space="preserve">akkujal on võimalus hüvitada </w:t>
            </w:r>
            <w:proofErr w:type="spellStart"/>
            <w:r w:rsidR="007650D2" w:rsidRPr="001A3223">
              <w:rPr>
                <w:i/>
                <w:iCs/>
                <w:color w:val="auto"/>
                <w:sz w:val="22"/>
                <w:szCs w:val="22"/>
              </w:rPr>
              <w:t>optometristi</w:t>
            </w:r>
            <w:proofErr w:type="spellEnd"/>
            <w:r w:rsidR="007650D2" w:rsidRPr="001A3223">
              <w:rPr>
                <w:i/>
                <w:iCs/>
                <w:color w:val="auto"/>
                <w:sz w:val="22"/>
                <w:szCs w:val="22"/>
              </w:rPr>
              <w:t xml:space="preserve"> kulu kas ambulatoorse pere- ja eriarstiabi (</w:t>
            </w:r>
            <w:r w:rsidRPr="001A3223">
              <w:rPr>
                <w:i/>
                <w:iCs/>
                <w:color w:val="auto"/>
                <w:sz w:val="22"/>
                <w:szCs w:val="22"/>
              </w:rPr>
              <w:t>Teenus 1</w:t>
            </w:r>
            <w:r w:rsidR="007650D2" w:rsidRPr="001A3223">
              <w:rPr>
                <w:i/>
                <w:iCs/>
                <w:color w:val="auto"/>
                <w:sz w:val="22"/>
                <w:szCs w:val="22"/>
              </w:rPr>
              <w:t>) või profülaktiliste uuringute (</w:t>
            </w:r>
            <w:r w:rsidRPr="001A3223">
              <w:rPr>
                <w:i/>
                <w:iCs/>
                <w:color w:val="auto"/>
                <w:sz w:val="22"/>
                <w:szCs w:val="22"/>
              </w:rPr>
              <w:t>Teenus 4</w:t>
            </w:r>
            <w:r w:rsidR="007650D2" w:rsidRPr="001A3223">
              <w:rPr>
                <w:i/>
                <w:iCs/>
                <w:color w:val="auto"/>
                <w:sz w:val="22"/>
                <w:szCs w:val="22"/>
              </w:rPr>
              <w:t>) all</w:t>
            </w:r>
            <w:r w:rsidRPr="001A3223">
              <w:rPr>
                <w:i/>
                <w:iCs/>
                <w:color w:val="auto"/>
                <w:sz w:val="22"/>
                <w:szCs w:val="22"/>
              </w:rPr>
              <w:t>. Pakkuja toob välja, kumma paketi all see hüvitamisele kuulub.</w:t>
            </w:r>
          </w:p>
        </w:tc>
        <w:tc>
          <w:tcPr>
            <w:tcW w:w="5666" w:type="dxa"/>
            <w:vAlign w:val="center"/>
          </w:tcPr>
          <w:p w14:paraId="7FC421B0" w14:textId="77777777" w:rsidR="00D3682C" w:rsidRPr="001A3223" w:rsidRDefault="00D3682C" w:rsidP="00BF6011">
            <w:pPr>
              <w:tabs>
                <w:tab w:val="left" w:pos="404"/>
              </w:tabs>
              <w:spacing w:after="40"/>
            </w:pPr>
          </w:p>
        </w:tc>
      </w:tr>
      <w:tr w:rsidR="003A3C42" w:rsidRPr="001A3223" w14:paraId="1067B222" w14:textId="77777777" w:rsidTr="00A541A0">
        <w:tc>
          <w:tcPr>
            <w:tcW w:w="1375" w:type="dxa"/>
            <w:vAlign w:val="center"/>
          </w:tcPr>
          <w:p w14:paraId="6A9232EF" w14:textId="153363A0" w:rsidR="003A3C42" w:rsidRPr="001A3223" w:rsidRDefault="003A3C42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>Teenus 2</w:t>
            </w:r>
          </w:p>
        </w:tc>
        <w:tc>
          <w:tcPr>
            <w:tcW w:w="1768" w:type="dxa"/>
            <w:vAlign w:val="center"/>
          </w:tcPr>
          <w:p w14:paraId="05B8DA49" w14:textId="24127E92" w:rsidR="003A3C42" w:rsidRPr="001A3223" w:rsidRDefault="003A3C42" w:rsidP="00BF6011">
            <w:pPr>
              <w:pStyle w:val="Default"/>
              <w:spacing w:after="40"/>
              <w:jc w:val="center"/>
              <w:rPr>
                <w:b/>
                <w:bCs/>
                <w:color w:val="auto"/>
              </w:rPr>
            </w:pPr>
            <w:r w:rsidRPr="001A3223">
              <w:rPr>
                <w:b/>
                <w:bCs/>
              </w:rPr>
              <w:t>A</w:t>
            </w:r>
            <w:r w:rsidRPr="001A3223">
              <w:rPr>
                <w:b/>
                <w:bCs/>
                <w:color w:val="auto"/>
              </w:rPr>
              <w:t>mbulatoorne taastusravi</w:t>
            </w:r>
          </w:p>
        </w:tc>
        <w:tc>
          <w:tcPr>
            <w:tcW w:w="5749" w:type="dxa"/>
            <w:vAlign w:val="center"/>
          </w:tcPr>
          <w:p w14:paraId="1F9AE5BC" w14:textId="321A5405" w:rsidR="003A3C42" w:rsidRPr="001A3223" w:rsidRDefault="002A43B4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84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 xml:space="preserve">Ambulatoorne taastusravi (arsti poolt määratud ravimassaaž, ravivõimlemine, füsioteraapia) ning </w:t>
            </w:r>
            <w:r w:rsidRPr="001A3223">
              <w:rPr>
                <w:color w:val="auto"/>
              </w:rPr>
              <w:lastRenderedPageBreak/>
              <w:t xml:space="preserve">abivahenditele (nt </w:t>
            </w:r>
            <w:proofErr w:type="spellStart"/>
            <w:r w:rsidRPr="001A3223">
              <w:rPr>
                <w:color w:val="auto"/>
              </w:rPr>
              <w:t>ortoosid</w:t>
            </w:r>
            <w:proofErr w:type="spellEnd"/>
            <w:r w:rsidRPr="001A3223">
              <w:rPr>
                <w:color w:val="auto"/>
              </w:rPr>
              <w:t>, ratastool jms) tehtud kulutused.</w:t>
            </w:r>
          </w:p>
        </w:tc>
        <w:tc>
          <w:tcPr>
            <w:tcW w:w="5666" w:type="dxa"/>
            <w:vAlign w:val="center"/>
          </w:tcPr>
          <w:p w14:paraId="146C0E27" w14:textId="77777777" w:rsidR="003A3C42" w:rsidRPr="001A3223" w:rsidRDefault="003A3C42" w:rsidP="00BF6011">
            <w:pPr>
              <w:tabs>
                <w:tab w:val="left" w:pos="404"/>
              </w:tabs>
              <w:spacing w:after="40"/>
            </w:pPr>
          </w:p>
        </w:tc>
      </w:tr>
      <w:tr w:rsidR="003A3C42" w:rsidRPr="001A3223" w14:paraId="7C642538" w14:textId="77777777" w:rsidTr="00A541A0">
        <w:tc>
          <w:tcPr>
            <w:tcW w:w="1375" w:type="dxa"/>
            <w:vAlign w:val="center"/>
          </w:tcPr>
          <w:p w14:paraId="3A3A32B9" w14:textId="7C9D7BBD" w:rsidR="003A3C42" w:rsidRPr="001A3223" w:rsidRDefault="003A3C42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>Teenus 3</w:t>
            </w:r>
          </w:p>
        </w:tc>
        <w:tc>
          <w:tcPr>
            <w:tcW w:w="1768" w:type="dxa"/>
            <w:vAlign w:val="center"/>
          </w:tcPr>
          <w:p w14:paraId="65B8A870" w14:textId="1D498913" w:rsidR="003A3C42" w:rsidRPr="001A3223" w:rsidRDefault="003A3C42" w:rsidP="00BF6011">
            <w:pPr>
              <w:pStyle w:val="Default"/>
              <w:spacing w:after="40"/>
              <w:jc w:val="center"/>
              <w:rPr>
                <w:b/>
                <w:bCs/>
              </w:rPr>
            </w:pPr>
            <w:r w:rsidRPr="001A3223">
              <w:rPr>
                <w:b/>
                <w:bCs/>
              </w:rPr>
              <w:t>Psühholoogiline nõustamine</w:t>
            </w:r>
          </w:p>
        </w:tc>
        <w:tc>
          <w:tcPr>
            <w:tcW w:w="5749" w:type="dxa"/>
            <w:vAlign w:val="center"/>
          </w:tcPr>
          <w:p w14:paraId="7822CA98" w14:textId="206D1ADB" w:rsidR="003A3C42" w:rsidRPr="001A3223" w:rsidRDefault="002A43B4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84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Vaimse tervise õe, psühholoogi ja psühhoterapeudi visiidi- ja konsultatsioonitasu ilma arsti suunamiseta.</w:t>
            </w:r>
          </w:p>
        </w:tc>
        <w:tc>
          <w:tcPr>
            <w:tcW w:w="5666" w:type="dxa"/>
            <w:vAlign w:val="center"/>
          </w:tcPr>
          <w:p w14:paraId="69C3175C" w14:textId="77777777" w:rsidR="003A3C42" w:rsidRPr="001A3223" w:rsidRDefault="003A3C42" w:rsidP="00BF6011">
            <w:pPr>
              <w:tabs>
                <w:tab w:val="left" w:pos="404"/>
              </w:tabs>
              <w:spacing w:after="40"/>
            </w:pPr>
          </w:p>
        </w:tc>
      </w:tr>
      <w:tr w:rsidR="003A3C42" w:rsidRPr="001A3223" w14:paraId="59B3F671" w14:textId="77777777" w:rsidTr="00A541A0">
        <w:tc>
          <w:tcPr>
            <w:tcW w:w="1375" w:type="dxa"/>
            <w:vAlign w:val="center"/>
          </w:tcPr>
          <w:p w14:paraId="0DDE10FC" w14:textId="61BF9356" w:rsidR="003A3C42" w:rsidRPr="001A3223" w:rsidRDefault="003A3C42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>Teenus 4</w:t>
            </w:r>
          </w:p>
        </w:tc>
        <w:tc>
          <w:tcPr>
            <w:tcW w:w="1768" w:type="dxa"/>
            <w:vAlign w:val="center"/>
          </w:tcPr>
          <w:p w14:paraId="1B3E4FCB" w14:textId="3DCAD25B" w:rsidR="003A3C42" w:rsidRPr="001A3223" w:rsidRDefault="00A620BF" w:rsidP="00BF6011">
            <w:pPr>
              <w:pStyle w:val="Default"/>
              <w:spacing w:after="40"/>
              <w:jc w:val="center"/>
              <w:rPr>
                <w:b/>
                <w:bCs/>
                <w:color w:val="auto"/>
              </w:rPr>
            </w:pPr>
            <w:r w:rsidRPr="001A3223">
              <w:rPr>
                <w:b/>
                <w:bCs/>
                <w:color w:val="auto"/>
              </w:rPr>
              <w:t>Profülaktilised uuringud</w:t>
            </w:r>
          </w:p>
        </w:tc>
        <w:tc>
          <w:tcPr>
            <w:tcW w:w="5749" w:type="dxa"/>
            <w:vAlign w:val="center"/>
          </w:tcPr>
          <w:p w14:paraId="1DF544BC" w14:textId="0821F0FE" w:rsidR="00A70BC4" w:rsidRPr="001A3223" w:rsidRDefault="002B1994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76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Il</w:t>
            </w:r>
            <w:r w:rsidR="00A620BF" w:rsidRPr="001A3223">
              <w:rPr>
                <w:color w:val="auto"/>
              </w:rPr>
              <w:t>ma meditsiiniliste näidustusteta teostatud ja tervisliku seisundi kontrollimiseks või haiguste ennetamiseks mõeldud uuringute ja analüüside kulu</w:t>
            </w:r>
            <w:r w:rsidR="002A43B4" w:rsidRPr="001A3223">
              <w:rPr>
                <w:color w:val="auto"/>
              </w:rPr>
              <w:t>, mille alla kuuluvad mh</w:t>
            </w:r>
            <w:r w:rsidRPr="001A3223">
              <w:rPr>
                <w:color w:val="auto"/>
              </w:rPr>
              <w:t>:</w:t>
            </w:r>
          </w:p>
          <w:p w14:paraId="75277E05" w14:textId="77777777" w:rsidR="00A70BC4" w:rsidRPr="001A3223" w:rsidRDefault="00A620BF" w:rsidP="00BF6011">
            <w:pPr>
              <w:pStyle w:val="Default"/>
              <w:numPr>
                <w:ilvl w:val="1"/>
                <w:numId w:val="9"/>
              </w:numPr>
              <w:spacing w:after="40"/>
              <w:ind w:left="559" w:hanging="283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Füüsilise koormuse testid</w:t>
            </w:r>
          </w:p>
          <w:p w14:paraId="1BF9500C" w14:textId="4E3A497B" w:rsidR="00A70BC4" w:rsidRPr="001A3223" w:rsidRDefault="00A70BC4" w:rsidP="00BF6011">
            <w:pPr>
              <w:pStyle w:val="Default"/>
              <w:numPr>
                <w:ilvl w:val="1"/>
                <w:numId w:val="9"/>
              </w:numPr>
              <w:spacing w:after="40"/>
              <w:ind w:left="559" w:hanging="283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T</w:t>
            </w:r>
            <w:r w:rsidR="00A620BF" w:rsidRPr="001A3223">
              <w:rPr>
                <w:color w:val="auto"/>
              </w:rPr>
              <w:t>erviseauditid</w:t>
            </w:r>
          </w:p>
          <w:p w14:paraId="477F1D80" w14:textId="77777777" w:rsidR="003A3C42" w:rsidRPr="001A3223" w:rsidRDefault="00A70BC4" w:rsidP="00BF6011">
            <w:pPr>
              <w:pStyle w:val="Default"/>
              <w:numPr>
                <w:ilvl w:val="1"/>
                <w:numId w:val="9"/>
              </w:numPr>
              <w:spacing w:after="40"/>
              <w:ind w:left="559" w:hanging="283"/>
              <w:jc w:val="both"/>
              <w:rPr>
                <w:color w:val="auto"/>
              </w:rPr>
            </w:pPr>
            <w:proofErr w:type="spellStart"/>
            <w:r w:rsidRPr="001A3223">
              <w:rPr>
                <w:color w:val="auto"/>
              </w:rPr>
              <w:t>V</w:t>
            </w:r>
            <w:r w:rsidR="00A620BF" w:rsidRPr="001A3223">
              <w:rPr>
                <w:color w:val="auto"/>
              </w:rPr>
              <w:t>ereanalüüsid</w:t>
            </w:r>
            <w:proofErr w:type="spellEnd"/>
            <w:r w:rsidR="00A620BF" w:rsidRPr="001A3223">
              <w:rPr>
                <w:color w:val="auto"/>
              </w:rPr>
              <w:t>.</w:t>
            </w:r>
          </w:p>
          <w:p w14:paraId="17C40E64" w14:textId="77777777" w:rsidR="002A43B4" w:rsidRPr="001A3223" w:rsidRDefault="002A43B4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76"/>
              <w:jc w:val="both"/>
              <w:rPr>
                <w:color w:val="auto"/>
              </w:rPr>
            </w:pPr>
            <w:proofErr w:type="spellStart"/>
            <w:r w:rsidRPr="001A3223">
              <w:rPr>
                <w:color w:val="auto"/>
              </w:rPr>
              <w:t>Optometristi</w:t>
            </w:r>
            <w:proofErr w:type="spellEnd"/>
            <w:r w:rsidRPr="001A3223">
              <w:rPr>
                <w:color w:val="auto"/>
              </w:rPr>
              <w:t xml:space="preserve"> vastuvõtu kulu. Silmauuringute kulu.</w:t>
            </w:r>
          </w:p>
          <w:p w14:paraId="4087D3B8" w14:textId="0DE14FEE" w:rsidR="002A43B4" w:rsidRPr="001A3223" w:rsidRDefault="002A43B4" w:rsidP="00BF6011">
            <w:pPr>
              <w:pStyle w:val="Default"/>
              <w:spacing w:after="40"/>
              <w:jc w:val="both"/>
              <w:rPr>
                <w:color w:val="auto"/>
                <w:sz w:val="22"/>
                <w:szCs w:val="22"/>
              </w:rPr>
            </w:pPr>
            <w:r w:rsidRPr="001A3223">
              <w:rPr>
                <w:i/>
                <w:iCs/>
                <w:color w:val="auto"/>
                <w:sz w:val="22"/>
                <w:szCs w:val="22"/>
              </w:rPr>
              <w:t xml:space="preserve">Pakkujal on võimalus hüvitada </w:t>
            </w:r>
            <w:proofErr w:type="spellStart"/>
            <w:r w:rsidRPr="001A3223">
              <w:rPr>
                <w:i/>
                <w:iCs/>
                <w:color w:val="auto"/>
                <w:sz w:val="22"/>
                <w:szCs w:val="22"/>
              </w:rPr>
              <w:t>optometristi</w:t>
            </w:r>
            <w:proofErr w:type="spellEnd"/>
            <w:r w:rsidRPr="001A3223">
              <w:rPr>
                <w:i/>
                <w:iCs/>
                <w:color w:val="auto"/>
                <w:sz w:val="22"/>
                <w:szCs w:val="22"/>
              </w:rPr>
              <w:t xml:space="preserve"> kulu kas ambulatoorse pere- ja eriarstiabi (Teenus 1) või profülaktiliste uuringute (Teenus 4) all. Pakkuja toob välja, kumma paketi all see hüvitamisele kuulub.</w:t>
            </w:r>
          </w:p>
        </w:tc>
        <w:tc>
          <w:tcPr>
            <w:tcW w:w="5666" w:type="dxa"/>
            <w:vAlign w:val="center"/>
          </w:tcPr>
          <w:p w14:paraId="35D223CB" w14:textId="77777777" w:rsidR="003A3C42" w:rsidRPr="001A3223" w:rsidRDefault="003A3C42" w:rsidP="00BF6011">
            <w:pPr>
              <w:tabs>
                <w:tab w:val="left" w:pos="404"/>
              </w:tabs>
              <w:spacing w:after="40"/>
            </w:pPr>
          </w:p>
        </w:tc>
      </w:tr>
      <w:tr w:rsidR="003A3C42" w:rsidRPr="001A3223" w14:paraId="526B4AB6" w14:textId="77777777" w:rsidTr="00A541A0">
        <w:tc>
          <w:tcPr>
            <w:tcW w:w="1375" w:type="dxa"/>
            <w:vAlign w:val="center"/>
          </w:tcPr>
          <w:p w14:paraId="6B35E7D0" w14:textId="3A4F2865" w:rsidR="003A3C42" w:rsidRPr="001A3223" w:rsidRDefault="003A3C42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>Teenus 5</w:t>
            </w:r>
          </w:p>
        </w:tc>
        <w:tc>
          <w:tcPr>
            <w:tcW w:w="1768" w:type="dxa"/>
            <w:vAlign w:val="center"/>
          </w:tcPr>
          <w:p w14:paraId="0E0B0649" w14:textId="748E7436" w:rsidR="00A620BF" w:rsidRPr="001A3223" w:rsidRDefault="00A620BF" w:rsidP="00BF6011">
            <w:pPr>
              <w:pStyle w:val="Default"/>
              <w:spacing w:after="40"/>
              <w:jc w:val="center"/>
              <w:rPr>
                <w:b/>
                <w:bCs/>
              </w:rPr>
            </w:pPr>
            <w:r w:rsidRPr="001A3223">
              <w:rPr>
                <w:b/>
                <w:bCs/>
              </w:rPr>
              <w:t>Hambaravi</w:t>
            </w:r>
          </w:p>
        </w:tc>
        <w:tc>
          <w:tcPr>
            <w:tcW w:w="5749" w:type="dxa"/>
            <w:vAlign w:val="center"/>
          </w:tcPr>
          <w:p w14:paraId="56876AB8" w14:textId="786D3665" w:rsidR="00E9613F" w:rsidRPr="001A3223" w:rsidRDefault="00E9613F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76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 xml:space="preserve">Hambaarsti, </w:t>
            </w:r>
            <w:proofErr w:type="spellStart"/>
            <w:r w:rsidRPr="001A3223">
              <w:rPr>
                <w:color w:val="auto"/>
              </w:rPr>
              <w:t>ortodondi</w:t>
            </w:r>
            <w:proofErr w:type="spellEnd"/>
            <w:r w:rsidRPr="001A3223">
              <w:rPr>
                <w:color w:val="auto"/>
              </w:rPr>
              <w:t xml:space="preserve">, </w:t>
            </w:r>
            <w:proofErr w:type="spellStart"/>
            <w:r w:rsidRPr="001A3223">
              <w:rPr>
                <w:color w:val="auto"/>
              </w:rPr>
              <w:t>endodondi</w:t>
            </w:r>
            <w:proofErr w:type="spellEnd"/>
            <w:r w:rsidRPr="001A3223">
              <w:rPr>
                <w:color w:val="auto"/>
              </w:rPr>
              <w:t xml:space="preserve"> konsultatsioon ja raviplaani koostamine.</w:t>
            </w:r>
          </w:p>
          <w:p w14:paraId="2415F6A1" w14:textId="207660D3" w:rsidR="00E9613F" w:rsidRPr="001A3223" w:rsidRDefault="00E9613F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76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Hambaravi ja –kirurgia.</w:t>
            </w:r>
          </w:p>
          <w:p w14:paraId="79A33389" w14:textId="10CCC64B" w:rsidR="00E9613F" w:rsidRPr="001A3223" w:rsidRDefault="00E9613F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76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Diagnostika ja uuringud (sh röntgen).</w:t>
            </w:r>
          </w:p>
          <w:p w14:paraId="57FCCB67" w14:textId="47F1890A" w:rsidR="003A3C42" w:rsidRPr="001A3223" w:rsidRDefault="00E9613F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76"/>
              <w:jc w:val="both"/>
              <w:rPr>
                <w:color w:val="auto"/>
              </w:rPr>
            </w:pPr>
            <w:proofErr w:type="spellStart"/>
            <w:r w:rsidRPr="001A3223">
              <w:rPr>
                <w:color w:val="auto"/>
              </w:rPr>
              <w:t>Suuhügienisti</w:t>
            </w:r>
            <w:proofErr w:type="spellEnd"/>
            <w:r w:rsidRPr="001A3223">
              <w:rPr>
                <w:color w:val="auto"/>
              </w:rPr>
              <w:t xml:space="preserve"> teenused (sooda- või </w:t>
            </w:r>
            <w:proofErr w:type="spellStart"/>
            <w:r w:rsidRPr="001A3223">
              <w:rPr>
                <w:color w:val="auto"/>
              </w:rPr>
              <w:t>pärlipesu</w:t>
            </w:r>
            <w:proofErr w:type="spellEnd"/>
            <w:r w:rsidRPr="001A3223">
              <w:rPr>
                <w:color w:val="auto"/>
              </w:rPr>
              <w:t>, hambakivi eemaldamine).</w:t>
            </w:r>
          </w:p>
        </w:tc>
        <w:tc>
          <w:tcPr>
            <w:tcW w:w="5666" w:type="dxa"/>
            <w:vAlign w:val="center"/>
          </w:tcPr>
          <w:p w14:paraId="181400B1" w14:textId="77777777" w:rsidR="003A3C42" w:rsidRPr="001A3223" w:rsidRDefault="003A3C42" w:rsidP="00BF6011">
            <w:pPr>
              <w:tabs>
                <w:tab w:val="left" w:pos="404"/>
              </w:tabs>
              <w:spacing w:after="40"/>
            </w:pPr>
          </w:p>
        </w:tc>
      </w:tr>
      <w:tr w:rsidR="00A620BF" w:rsidRPr="001A3223" w14:paraId="3EC60818" w14:textId="77777777" w:rsidTr="00A541A0">
        <w:tc>
          <w:tcPr>
            <w:tcW w:w="1375" w:type="dxa"/>
            <w:vAlign w:val="center"/>
          </w:tcPr>
          <w:p w14:paraId="480FC7DE" w14:textId="1A92E25D" w:rsidR="00A620BF" w:rsidRPr="001A3223" w:rsidRDefault="00A620BF" w:rsidP="00BF6011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1A3223">
              <w:rPr>
                <w:b/>
              </w:rPr>
              <w:t>Teenus 6</w:t>
            </w:r>
          </w:p>
        </w:tc>
        <w:tc>
          <w:tcPr>
            <w:tcW w:w="1768" w:type="dxa"/>
            <w:vAlign w:val="center"/>
          </w:tcPr>
          <w:p w14:paraId="20736572" w14:textId="44F64539" w:rsidR="00A620BF" w:rsidRPr="001A3223" w:rsidRDefault="00A620BF" w:rsidP="00BF6011">
            <w:pPr>
              <w:pStyle w:val="Default"/>
              <w:spacing w:after="40"/>
              <w:jc w:val="center"/>
              <w:rPr>
                <w:b/>
                <w:bCs/>
              </w:rPr>
            </w:pPr>
            <w:r w:rsidRPr="001A3223">
              <w:rPr>
                <w:b/>
                <w:bCs/>
              </w:rPr>
              <w:t>Vaktsineerimine</w:t>
            </w:r>
          </w:p>
        </w:tc>
        <w:tc>
          <w:tcPr>
            <w:tcW w:w="5749" w:type="dxa"/>
            <w:vAlign w:val="center"/>
          </w:tcPr>
          <w:p w14:paraId="06077912" w14:textId="20DA004D" w:rsidR="00A620BF" w:rsidRPr="001A3223" w:rsidRDefault="00E9613F" w:rsidP="00BF6011">
            <w:pPr>
              <w:pStyle w:val="Default"/>
              <w:numPr>
                <w:ilvl w:val="0"/>
                <w:numId w:val="9"/>
              </w:numPr>
              <w:spacing w:after="40"/>
              <w:ind w:left="276" w:hanging="276"/>
              <w:jc w:val="both"/>
              <w:rPr>
                <w:color w:val="auto"/>
              </w:rPr>
            </w:pPr>
            <w:r w:rsidRPr="001A3223">
              <w:rPr>
                <w:color w:val="auto"/>
              </w:rPr>
              <w:t>Vaktsiini soetamise ja vaktsineerimise kulud. Vaktsiinide nimekiri ei ole piiratud.</w:t>
            </w:r>
          </w:p>
        </w:tc>
        <w:tc>
          <w:tcPr>
            <w:tcW w:w="5666" w:type="dxa"/>
            <w:vAlign w:val="center"/>
          </w:tcPr>
          <w:p w14:paraId="67BC52EC" w14:textId="77777777" w:rsidR="00A620BF" w:rsidRPr="001A3223" w:rsidRDefault="00A620BF" w:rsidP="00BF6011">
            <w:pPr>
              <w:tabs>
                <w:tab w:val="left" w:pos="404"/>
              </w:tabs>
              <w:spacing w:after="40"/>
            </w:pPr>
          </w:p>
        </w:tc>
      </w:tr>
    </w:tbl>
    <w:p w14:paraId="3757A535" w14:textId="77777777" w:rsidR="00D3682C" w:rsidRDefault="00D3682C"/>
    <w:p w14:paraId="07C8E6BF" w14:textId="77777777" w:rsidR="001C6912" w:rsidRDefault="001C6912"/>
    <w:p w14:paraId="3B6D5847" w14:textId="5A41B20F" w:rsidR="00E8709A" w:rsidRPr="00E8709A" w:rsidRDefault="00E8709A" w:rsidP="00854E87">
      <w:pPr>
        <w:spacing w:after="60"/>
        <w:rPr>
          <w:b/>
          <w:bCs/>
        </w:rPr>
      </w:pPr>
      <w:r w:rsidRPr="00E8709A">
        <w:rPr>
          <w:b/>
          <w:bCs/>
        </w:rPr>
        <w:t>Pakutav omavastutus</w:t>
      </w:r>
      <w:r w:rsidR="005F7566">
        <w:rPr>
          <w:b/>
          <w:bCs/>
        </w:rPr>
        <w:t>, mis ei tohi olla suurem kui tehnilises kirjelduses sätestatud maksimaalne:</w:t>
      </w:r>
    </w:p>
    <w:tbl>
      <w:tblPr>
        <w:tblStyle w:val="TableGrid"/>
        <w:tblW w:w="12148" w:type="dxa"/>
        <w:tblInd w:w="38" w:type="dxa"/>
        <w:tblLook w:val="04A0" w:firstRow="1" w:lastRow="0" w:firstColumn="1" w:lastColumn="0" w:noHBand="0" w:noVBand="1"/>
      </w:tblPr>
      <w:tblGrid>
        <w:gridCol w:w="1370"/>
        <w:gridCol w:w="4116"/>
        <w:gridCol w:w="3543"/>
        <w:gridCol w:w="3119"/>
      </w:tblGrid>
      <w:tr w:rsidR="00E8709A" w:rsidRPr="00A541A0" w14:paraId="7952F249" w14:textId="77777777" w:rsidTr="00E8709A">
        <w:trPr>
          <w:trHeight w:val="451"/>
        </w:trPr>
        <w:tc>
          <w:tcPr>
            <w:tcW w:w="1370" w:type="dxa"/>
            <w:shd w:val="clear" w:color="auto" w:fill="FFF2CC" w:themeFill="accent4" w:themeFillTint="33"/>
            <w:vAlign w:val="center"/>
          </w:tcPr>
          <w:p w14:paraId="29C44CDD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>Teenuse nr</w:t>
            </w:r>
          </w:p>
        </w:tc>
        <w:tc>
          <w:tcPr>
            <w:tcW w:w="4116" w:type="dxa"/>
            <w:shd w:val="clear" w:color="auto" w:fill="FFF2CC" w:themeFill="accent4" w:themeFillTint="33"/>
            <w:vAlign w:val="center"/>
          </w:tcPr>
          <w:p w14:paraId="6AC5891C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>Teenusepakett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3729D44F" w14:textId="68E93DF6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>Omavastutus</w:t>
            </w:r>
            <w:r w:rsidR="00A541A0">
              <w:rPr>
                <w:b/>
              </w:rPr>
              <w:t>,</w:t>
            </w:r>
            <w:r w:rsidRPr="00A541A0">
              <w:rPr>
                <w:b/>
              </w:rPr>
              <w:t xml:space="preserve"> vastavalt tehnilisele kirjeldusele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5AC2AC25" w14:textId="38241D0F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 xml:space="preserve">Pakkuja poolt </w:t>
            </w:r>
            <w:r w:rsidRPr="00A541A0">
              <w:rPr>
                <w:b/>
              </w:rPr>
              <w:t>pakutav omavastutus</w:t>
            </w:r>
            <w:r w:rsidR="00A541A0">
              <w:rPr>
                <w:b/>
              </w:rPr>
              <w:t>, %</w:t>
            </w:r>
          </w:p>
        </w:tc>
      </w:tr>
      <w:tr w:rsidR="00E8709A" w:rsidRPr="00A541A0" w14:paraId="5F7EB1C6" w14:textId="77777777" w:rsidTr="00A541A0">
        <w:tc>
          <w:tcPr>
            <w:tcW w:w="1370" w:type="dxa"/>
            <w:vAlign w:val="center"/>
          </w:tcPr>
          <w:p w14:paraId="7E25DB78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ind w:hanging="24"/>
              <w:jc w:val="center"/>
              <w:rPr>
                <w:highlight w:val="yellow"/>
              </w:rPr>
            </w:pPr>
            <w:r w:rsidRPr="00A541A0">
              <w:rPr>
                <w:b/>
              </w:rPr>
              <w:t>Teenus 1</w:t>
            </w:r>
          </w:p>
        </w:tc>
        <w:tc>
          <w:tcPr>
            <w:tcW w:w="4116" w:type="dxa"/>
            <w:vAlign w:val="center"/>
          </w:tcPr>
          <w:p w14:paraId="23344FEE" w14:textId="77777777" w:rsidR="00E8709A" w:rsidRPr="00A541A0" w:rsidRDefault="00E8709A" w:rsidP="00D92CBC">
            <w:pPr>
              <w:pStyle w:val="Default"/>
              <w:spacing w:after="40"/>
              <w:jc w:val="center"/>
              <w:rPr>
                <w:b/>
                <w:bCs/>
                <w:color w:val="auto"/>
              </w:rPr>
            </w:pPr>
            <w:r w:rsidRPr="00A541A0">
              <w:rPr>
                <w:b/>
                <w:bCs/>
              </w:rPr>
              <w:t>A</w:t>
            </w:r>
            <w:r w:rsidRPr="00A541A0">
              <w:rPr>
                <w:b/>
                <w:bCs/>
                <w:color w:val="auto"/>
              </w:rPr>
              <w:t xml:space="preserve">mbulatoorne pere- ja eriarstiabi, </w:t>
            </w:r>
          </w:p>
          <w:p w14:paraId="0D617BAA" w14:textId="42CF3BC2" w:rsidR="00E8709A" w:rsidRPr="00A541A0" w:rsidRDefault="00E8709A" w:rsidP="00D92CBC">
            <w:pPr>
              <w:pStyle w:val="Default"/>
              <w:spacing w:after="40"/>
              <w:jc w:val="center"/>
              <w:rPr>
                <w:color w:val="auto"/>
              </w:rPr>
            </w:pPr>
            <w:r w:rsidRPr="00A541A0">
              <w:rPr>
                <w:b/>
                <w:bCs/>
                <w:color w:val="auto"/>
              </w:rPr>
              <w:t>sh psühhiaatri nõustamise teenus</w:t>
            </w:r>
          </w:p>
        </w:tc>
        <w:tc>
          <w:tcPr>
            <w:tcW w:w="3543" w:type="dxa"/>
            <w:vAlign w:val="center"/>
          </w:tcPr>
          <w:p w14:paraId="6B2F5021" w14:textId="30CACCE3" w:rsidR="00E8709A" w:rsidRPr="00A541A0" w:rsidRDefault="00E8709A" w:rsidP="00A541A0">
            <w:pPr>
              <w:pStyle w:val="Default"/>
              <w:spacing w:after="40"/>
              <w:jc w:val="center"/>
            </w:pPr>
            <w:r w:rsidRPr="00A541A0">
              <w:t>Maksimaalselt 20%</w:t>
            </w:r>
          </w:p>
        </w:tc>
        <w:tc>
          <w:tcPr>
            <w:tcW w:w="3119" w:type="dxa"/>
            <w:vAlign w:val="center"/>
          </w:tcPr>
          <w:p w14:paraId="1121F9F4" w14:textId="77777777" w:rsidR="00E8709A" w:rsidRPr="00A541A0" w:rsidRDefault="00E8709A" w:rsidP="00A541A0">
            <w:pPr>
              <w:tabs>
                <w:tab w:val="left" w:pos="404"/>
              </w:tabs>
              <w:spacing w:after="40"/>
              <w:jc w:val="center"/>
            </w:pPr>
          </w:p>
        </w:tc>
      </w:tr>
      <w:tr w:rsidR="00E8709A" w:rsidRPr="00A541A0" w14:paraId="0EDDC106" w14:textId="77777777" w:rsidTr="00A541A0">
        <w:tc>
          <w:tcPr>
            <w:tcW w:w="1370" w:type="dxa"/>
            <w:vAlign w:val="center"/>
          </w:tcPr>
          <w:p w14:paraId="1A76D23F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>Teenus 2</w:t>
            </w:r>
          </w:p>
        </w:tc>
        <w:tc>
          <w:tcPr>
            <w:tcW w:w="4116" w:type="dxa"/>
            <w:vAlign w:val="center"/>
          </w:tcPr>
          <w:p w14:paraId="5B6C8224" w14:textId="77777777" w:rsidR="00E8709A" w:rsidRPr="00A541A0" w:rsidRDefault="00E8709A" w:rsidP="00D92CBC">
            <w:pPr>
              <w:pStyle w:val="Default"/>
              <w:spacing w:after="40"/>
              <w:jc w:val="center"/>
              <w:rPr>
                <w:b/>
                <w:bCs/>
                <w:color w:val="auto"/>
              </w:rPr>
            </w:pPr>
            <w:r w:rsidRPr="00A541A0">
              <w:rPr>
                <w:b/>
                <w:bCs/>
              </w:rPr>
              <w:t>A</w:t>
            </w:r>
            <w:r w:rsidRPr="00A541A0">
              <w:rPr>
                <w:b/>
                <w:bCs/>
                <w:color w:val="auto"/>
              </w:rPr>
              <w:t>mbulatoorne taastusravi</w:t>
            </w:r>
          </w:p>
        </w:tc>
        <w:tc>
          <w:tcPr>
            <w:tcW w:w="3543" w:type="dxa"/>
            <w:vAlign w:val="center"/>
          </w:tcPr>
          <w:p w14:paraId="6CC99550" w14:textId="2B063E3A" w:rsidR="00E8709A" w:rsidRPr="00A541A0" w:rsidRDefault="00E8709A" w:rsidP="00A541A0">
            <w:pPr>
              <w:pStyle w:val="Default"/>
              <w:spacing w:after="40"/>
              <w:jc w:val="center"/>
              <w:rPr>
                <w:color w:val="auto"/>
              </w:rPr>
            </w:pPr>
            <w:r w:rsidRPr="00A541A0">
              <w:t>Maksimaalselt 20%</w:t>
            </w:r>
          </w:p>
        </w:tc>
        <w:tc>
          <w:tcPr>
            <w:tcW w:w="3119" w:type="dxa"/>
            <w:vAlign w:val="center"/>
          </w:tcPr>
          <w:p w14:paraId="0C721008" w14:textId="77777777" w:rsidR="00E8709A" w:rsidRPr="00A541A0" w:rsidRDefault="00E8709A" w:rsidP="00A541A0">
            <w:pPr>
              <w:tabs>
                <w:tab w:val="left" w:pos="404"/>
              </w:tabs>
              <w:spacing w:after="40"/>
              <w:jc w:val="center"/>
            </w:pPr>
          </w:p>
        </w:tc>
      </w:tr>
      <w:tr w:rsidR="00E8709A" w:rsidRPr="00A541A0" w14:paraId="62294C56" w14:textId="77777777" w:rsidTr="00A541A0">
        <w:tc>
          <w:tcPr>
            <w:tcW w:w="1370" w:type="dxa"/>
            <w:vAlign w:val="center"/>
          </w:tcPr>
          <w:p w14:paraId="6C42CCE8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lastRenderedPageBreak/>
              <w:t>Teenus 3</w:t>
            </w:r>
          </w:p>
        </w:tc>
        <w:tc>
          <w:tcPr>
            <w:tcW w:w="4116" w:type="dxa"/>
            <w:vAlign w:val="center"/>
          </w:tcPr>
          <w:p w14:paraId="59BBD64B" w14:textId="77777777" w:rsidR="00E8709A" w:rsidRPr="00A541A0" w:rsidRDefault="00E8709A" w:rsidP="00D92CBC">
            <w:pPr>
              <w:pStyle w:val="Default"/>
              <w:spacing w:after="40"/>
              <w:jc w:val="center"/>
              <w:rPr>
                <w:b/>
                <w:bCs/>
              </w:rPr>
            </w:pPr>
            <w:r w:rsidRPr="00A541A0">
              <w:rPr>
                <w:b/>
                <w:bCs/>
              </w:rPr>
              <w:t>Psühholoogiline nõustamine</w:t>
            </w:r>
          </w:p>
        </w:tc>
        <w:tc>
          <w:tcPr>
            <w:tcW w:w="3543" w:type="dxa"/>
            <w:vAlign w:val="center"/>
          </w:tcPr>
          <w:p w14:paraId="1618D863" w14:textId="298DFCD5" w:rsidR="00E8709A" w:rsidRPr="00A541A0" w:rsidRDefault="00E8709A" w:rsidP="00A541A0">
            <w:pPr>
              <w:pStyle w:val="Default"/>
              <w:spacing w:after="40"/>
              <w:jc w:val="center"/>
              <w:rPr>
                <w:color w:val="auto"/>
              </w:rPr>
            </w:pPr>
            <w:r w:rsidRPr="00A541A0">
              <w:t>Maksimaalselt 20%</w:t>
            </w:r>
          </w:p>
        </w:tc>
        <w:tc>
          <w:tcPr>
            <w:tcW w:w="3119" w:type="dxa"/>
            <w:vAlign w:val="center"/>
          </w:tcPr>
          <w:p w14:paraId="5231F8F9" w14:textId="77777777" w:rsidR="00E8709A" w:rsidRPr="00A541A0" w:rsidRDefault="00E8709A" w:rsidP="00A541A0">
            <w:pPr>
              <w:tabs>
                <w:tab w:val="left" w:pos="404"/>
              </w:tabs>
              <w:spacing w:after="40"/>
              <w:jc w:val="center"/>
            </w:pPr>
          </w:p>
        </w:tc>
      </w:tr>
      <w:tr w:rsidR="00E8709A" w:rsidRPr="00A541A0" w14:paraId="47E479D0" w14:textId="77777777" w:rsidTr="00A541A0">
        <w:tc>
          <w:tcPr>
            <w:tcW w:w="1370" w:type="dxa"/>
            <w:vAlign w:val="center"/>
          </w:tcPr>
          <w:p w14:paraId="65625DF3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>Teenus 4</w:t>
            </w:r>
          </w:p>
        </w:tc>
        <w:tc>
          <w:tcPr>
            <w:tcW w:w="4116" w:type="dxa"/>
            <w:vAlign w:val="center"/>
          </w:tcPr>
          <w:p w14:paraId="09BB23E6" w14:textId="77777777" w:rsidR="00E8709A" w:rsidRPr="00A541A0" w:rsidRDefault="00E8709A" w:rsidP="00D92CBC">
            <w:pPr>
              <w:pStyle w:val="Default"/>
              <w:spacing w:after="40"/>
              <w:jc w:val="center"/>
              <w:rPr>
                <w:b/>
                <w:bCs/>
                <w:color w:val="auto"/>
              </w:rPr>
            </w:pPr>
            <w:r w:rsidRPr="00A541A0">
              <w:rPr>
                <w:b/>
                <w:bCs/>
                <w:color w:val="auto"/>
              </w:rPr>
              <w:t>Profülaktilised uuringud</w:t>
            </w:r>
          </w:p>
        </w:tc>
        <w:tc>
          <w:tcPr>
            <w:tcW w:w="3543" w:type="dxa"/>
            <w:vAlign w:val="center"/>
          </w:tcPr>
          <w:p w14:paraId="7E462F54" w14:textId="47292EFA" w:rsidR="00E8709A" w:rsidRPr="00A541A0" w:rsidRDefault="00E8709A" w:rsidP="00A541A0">
            <w:pPr>
              <w:pStyle w:val="Default"/>
              <w:spacing w:after="40"/>
              <w:jc w:val="center"/>
              <w:rPr>
                <w:color w:val="auto"/>
              </w:rPr>
            </w:pPr>
            <w:r w:rsidRPr="00A541A0">
              <w:t>Maksimaalselt 20%</w:t>
            </w:r>
          </w:p>
        </w:tc>
        <w:tc>
          <w:tcPr>
            <w:tcW w:w="3119" w:type="dxa"/>
            <w:vAlign w:val="center"/>
          </w:tcPr>
          <w:p w14:paraId="6592B2DB" w14:textId="77777777" w:rsidR="00E8709A" w:rsidRPr="00A541A0" w:rsidRDefault="00E8709A" w:rsidP="00A541A0">
            <w:pPr>
              <w:tabs>
                <w:tab w:val="left" w:pos="404"/>
              </w:tabs>
              <w:spacing w:after="40"/>
              <w:jc w:val="center"/>
            </w:pPr>
          </w:p>
        </w:tc>
      </w:tr>
      <w:tr w:rsidR="00E8709A" w:rsidRPr="00A541A0" w14:paraId="1787AB31" w14:textId="77777777" w:rsidTr="00A541A0">
        <w:tc>
          <w:tcPr>
            <w:tcW w:w="1370" w:type="dxa"/>
            <w:vAlign w:val="center"/>
          </w:tcPr>
          <w:p w14:paraId="2321FCE0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>Teenus 5</w:t>
            </w:r>
          </w:p>
        </w:tc>
        <w:tc>
          <w:tcPr>
            <w:tcW w:w="4116" w:type="dxa"/>
            <w:vAlign w:val="center"/>
          </w:tcPr>
          <w:p w14:paraId="69EEEED2" w14:textId="77777777" w:rsidR="00E8709A" w:rsidRPr="00A541A0" w:rsidRDefault="00E8709A" w:rsidP="00D92CBC">
            <w:pPr>
              <w:pStyle w:val="Default"/>
              <w:spacing w:after="40"/>
              <w:jc w:val="center"/>
              <w:rPr>
                <w:b/>
                <w:bCs/>
              </w:rPr>
            </w:pPr>
            <w:r w:rsidRPr="00A541A0">
              <w:rPr>
                <w:b/>
                <w:bCs/>
              </w:rPr>
              <w:t>Hambaravi</w:t>
            </w:r>
          </w:p>
        </w:tc>
        <w:tc>
          <w:tcPr>
            <w:tcW w:w="3543" w:type="dxa"/>
            <w:vAlign w:val="center"/>
          </w:tcPr>
          <w:p w14:paraId="05E50A47" w14:textId="11FBFE1F" w:rsidR="00E8709A" w:rsidRPr="00A541A0" w:rsidRDefault="00E8709A" w:rsidP="00A541A0">
            <w:pPr>
              <w:pStyle w:val="Default"/>
              <w:spacing w:after="40"/>
              <w:jc w:val="center"/>
              <w:rPr>
                <w:color w:val="auto"/>
              </w:rPr>
            </w:pPr>
            <w:r w:rsidRPr="00A541A0">
              <w:t>Maksimaalselt 20%</w:t>
            </w:r>
          </w:p>
        </w:tc>
        <w:tc>
          <w:tcPr>
            <w:tcW w:w="3119" w:type="dxa"/>
            <w:vAlign w:val="center"/>
          </w:tcPr>
          <w:p w14:paraId="3EC7F17A" w14:textId="77777777" w:rsidR="00E8709A" w:rsidRPr="00A541A0" w:rsidRDefault="00E8709A" w:rsidP="00A541A0">
            <w:pPr>
              <w:tabs>
                <w:tab w:val="left" w:pos="404"/>
              </w:tabs>
              <w:spacing w:after="40"/>
              <w:jc w:val="center"/>
            </w:pPr>
          </w:p>
        </w:tc>
      </w:tr>
      <w:tr w:rsidR="00E8709A" w:rsidRPr="00A541A0" w14:paraId="444D5FEC" w14:textId="77777777" w:rsidTr="00A541A0">
        <w:tc>
          <w:tcPr>
            <w:tcW w:w="1370" w:type="dxa"/>
            <w:vAlign w:val="center"/>
          </w:tcPr>
          <w:p w14:paraId="4ABF306C" w14:textId="77777777" w:rsidR="00E8709A" w:rsidRPr="00A541A0" w:rsidRDefault="00E8709A" w:rsidP="00D92CBC">
            <w:pPr>
              <w:tabs>
                <w:tab w:val="num" w:pos="426"/>
              </w:tabs>
              <w:spacing w:after="40"/>
              <w:jc w:val="center"/>
              <w:rPr>
                <w:b/>
              </w:rPr>
            </w:pPr>
            <w:r w:rsidRPr="00A541A0">
              <w:rPr>
                <w:b/>
              </w:rPr>
              <w:t>Teenus 6</w:t>
            </w:r>
          </w:p>
        </w:tc>
        <w:tc>
          <w:tcPr>
            <w:tcW w:w="4116" w:type="dxa"/>
            <w:vAlign w:val="center"/>
          </w:tcPr>
          <w:p w14:paraId="23B16CDD" w14:textId="77777777" w:rsidR="00E8709A" w:rsidRPr="00A541A0" w:rsidRDefault="00E8709A" w:rsidP="00D92CBC">
            <w:pPr>
              <w:pStyle w:val="Default"/>
              <w:spacing w:after="40"/>
              <w:jc w:val="center"/>
              <w:rPr>
                <w:b/>
                <w:bCs/>
              </w:rPr>
            </w:pPr>
            <w:r w:rsidRPr="00A541A0">
              <w:rPr>
                <w:b/>
                <w:bCs/>
              </w:rPr>
              <w:t>Vaktsineerimine</w:t>
            </w:r>
          </w:p>
        </w:tc>
        <w:tc>
          <w:tcPr>
            <w:tcW w:w="3543" w:type="dxa"/>
            <w:vAlign w:val="center"/>
          </w:tcPr>
          <w:p w14:paraId="68AA14A7" w14:textId="0B50A1D0" w:rsidR="00E8709A" w:rsidRPr="00A541A0" w:rsidRDefault="00E8709A" w:rsidP="00A541A0">
            <w:pPr>
              <w:pStyle w:val="Default"/>
              <w:spacing w:after="40"/>
              <w:jc w:val="center"/>
              <w:rPr>
                <w:color w:val="auto"/>
              </w:rPr>
            </w:pPr>
            <w:r w:rsidRPr="00A541A0">
              <w:t>Maksimaalselt 20%</w:t>
            </w:r>
          </w:p>
        </w:tc>
        <w:tc>
          <w:tcPr>
            <w:tcW w:w="3119" w:type="dxa"/>
            <w:vAlign w:val="center"/>
          </w:tcPr>
          <w:p w14:paraId="5FE7379D" w14:textId="77777777" w:rsidR="00E8709A" w:rsidRPr="00A541A0" w:rsidRDefault="00E8709A" w:rsidP="00A541A0">
            <w:pPr>
              <w:tabs>
                <w:tab w:val="left" w:pos="404"/>
              </w:tabs>
              <w:spacing w:after="40"/>
              <w:jc w:val="center"/>
            </w:pPr>
          </w:p>
        </w:tc>
      </w:tr>
    </w:tbl>
    <w:p w14:paraId="4D13B51D" w14:textId="77777777" w:rsidR="00E8709A" w:rsidRDefault="00E8709A"/>
    <w:sectPr w:rsidR="00E8709A" w:rsidSect="007650D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B97"/>
    <w:multiLevelType w:val="hybridMultilevel"/>
    <w:tmpl w:val="0158F4B0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E14FE1"/>
    <w:multiLevelType w:val="hybridMultilevel"/>
    <w:tmpl w:val="608EC2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874481"/>
    <w:multiLevelType w:val="hybridMultilevel"/>
    <w:tmpl w:val="7D0CC1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4418"/>
    <w:multiLevelType w:val="hybridMultilevel"/>
    <w:tmpl w:val="44B2D6C2"/>
    <w:lvl w:ilvl="0" w:tplc="042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06724D"/>
    <w:multiLevelType w:val="hybridMultilevel"/>
    <w:tmpl w:val="98B4A2F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261132"/>
    <w:multiLevelType w:val="hybridMultilevel"/>
    <w:tmpl w:val="E0E8DC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5453DD"/>
    <w:multiLevelType w:val="hybridMultilevel"/>
    <w:tmpl w:val="0546BC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40EC2"/>
    <w:multiLevelType w:val="hybridMultilevel"/>
    <w:tmpl w:val="C91CD27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8C2B64"/>
    <w:multiLevelType w:val="hybridMultilevel"/>
    <w:tmpl w:val="CEF63A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F4AD6"/>
    <w:multiLevelType w:val="hybridMultilevel"/>
    <w:tmpl w:val="71C8963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621B5A"/>
    <w:multiLevelType w:val="hybridMultilevel"/>
    <w:tmpl w:val="95D47F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3200">
    <w:abstractNumId w:val="5"/>
  </w:num>
  <w:num w:numId="2" w16cid:durableId="1967002765">
    <w:abstractNumId w:val="0"/>
  </w:num>
  <w:num w:numId="3" w16cid:durableId="636685444">
    <w:abstractNumId w:val="1"/>
  </w:num>
  <w:num w:numId="4" w16cid:durableId="1629554037">
    <w:abstractNumId w:val="4"/>
  </w:num>
  <w:num w:numId="5" w16cid:durableId="383604519">
    <w:abstractNumId w:val="9"/>
  </w:num>
  <w:num w:numId="6" w16cid:durableId="730540258">
    <w:abstractNumId w:val="7"/>
  </w:num>
  <w:num w:numId="7" w16cid:durableId="747262869">
    <w:abstractNumId w:val="6"/>
  </w:num>
  <w:num w:numId="8" w16cid:durableId="932083350">
    <w:abstractNumId w:val="2"/>
  </w:num>
  <w:num w:numId="9" w16cid:durableId="1683119903">
    <w:abstractNumId w:val="10"/>
  </w:num>
  <w:num w:numId="10" w16cid:durableId="833883896">
    <w:abstractNumId w:val="8"/>
  </w:num>
  <w:num w:numId="11" w16cid:durableId="1999654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2C"/>
    <w:rsid w:val="000D6449"/>
    <w:rsid w:val="0010232D"/>
    <w:rsid w:val="001A3223"/>
    <w:rsid w:val="001C6912"/>
    <w:rsid w:val="001D6B0B"/>
    <w:rsid w:val="002A43B4"/>
    <w:rsid w:val="002B1994"/>
    <w:rsid w:val="002C6575"/>
    <w:rsid w:val="003A3C42"/>
    <w:rsid w:val="004B374E"/>
    <w:rsid w:val="005F7566"/>
    <w:rsid w:val="006D7325"/>
    <w:rsid w:val="0075227B"/>
    <w:rsid w:val="007650D2"/>
    <w:rsid w:val="007E529D"/>
    <w:rsid w:val="00854E87"/>
    <w:rsid w:val="00A25BA6"/>
    <w:rsid w:val="00A541A0"/>
    <w:rsid w:val="00A620BF"/>
    <w:rsid w:val="00A70BC4"/>
    <w:rsid w:val="00B02AA0"/>
    <w:rsid w:val="00B32396"/>
    <w:rsid w:val="00B4242F"/>
    <w:rsid w:val="00B82C19"/>
    <w:rsid w:val="00BF6011"/>
    <w:rsid w:val="00C730CB"/>
    <w:rsid w:val="00D3682C"/>
    <w:rsid w:val="00D47E1F"/>
    <w:rsid w:val="00D74A48"/>
    <w:rsid w:val="00DC2548"/>
    <w:rsid w:val="00E4645C"/>
    <w:rsid w:val="00E77498"/>
    <w:rsid w:val="00E8709A"/>
    <w:rsid w:val="00E9613F"/>
    <w:rsid w:val="00EB74ED"/>
    <w:rsid w:val="00F557F1"/>
    <w:rsid w:val="00F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DDD"/>
  <w15:chartTrackingRefBased/>
  <w15:docId w15:val="{F6577DD0-664E-4497-88E5-8C69E78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Mummuga loetelu,Kaseya numbered 1,Heading 1 Hidden,Table of contents numbered,Loendi l›ik,List Paragraph1,List (bullet)"/>
    <w:basedOn w:val="Normal"/>
    <w:link w:val="ListParagraphChar"/>
    <w:uiPriority w:val="34"/>
    <w:qFormat/>
    <w:rsid w:val="00D3682C"/>
    <w:pPr>
      <w:ind w:left="720"/>
      <w:contextualSpacing/>
    </w:pPr>
  </w:style>
  <w:style w:type="character" w:customStyle="1" w:styleId="ListParagraphChar">
    <w:name w:val="List Paragraph Char"/>
    <w:aliases w:val="Mummuga loetelu Char,Kaseya numbered 1 Char,Heading 1 Hidden Char,Table of contents numbered Char,Loendi l›ik Char,List Paragraph1 Char,List (bullet) Char"/>
    <w:link w:val="ListParagraph"/>
    <w:uiPriority w:val="34"/>
    <w:qFormat/>
    <w:locked/>
    <w:rsid w:val="00D3682C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D36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D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519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 Ollema</dc:creator>
  <cp:keywords/>
  <dc:description/>
  <cp:lastModifiedBy>Triin Idavain</cp:lastModifiedBy>
  <cp:revision>13</cp:revision>
  <dcterms:created xsi:type="dcterms:W3CDTF">2026-01-23T12:26:00Z</dcterms:created>
  <dcterms:modified xsi:type="dcterms:W3CDTF">2026-02-05T12:06:00Z</dcterms:modified>
</cp:coreProperties>
</file>